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ED" w:rsidRDefault="000951ED" w:rsidP="000951ED">
      <w:pPr>
        <w:ind w:left="0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0951ED" w:rsidRDefault="000951ED" w:rsidP="000951ED">
      <w:pPr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0951ED" w:rsidRPr="000951ED" w:rsidRDefault="000951ED" w:rsidP="000951ED">
      <w:pPr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0951ED">
        <w:rPr>
          <w:rFonts w:ascii="a_CooperBlackNr" w:hAnsi="a_CooperBlackNr" w:cs="Times New Roman"/>
          <w:b/>
          <w:color w:val="FF0000"/>
          <w:sz w:val="40"/>
          <w:szCs w:val="40"/>
        </w:rPr>
        <w:t xml:space="preserve"> «Игрушка в жизни ребёнка»</w:t>
      </w:r>
    </w:p>
    <w:p w:rsidR="000951ED" w:rsidRPr="000951ED" w:rsidRDefault="000951ED" w:rsidP="000951ED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1048385</wp:posOffset>
            </wp:positionV>
            <wp:extent cx="2404745" cy="1924050"/>
            <wp:effectExtent l="19050" t="0" r="0" b="0"/>
            <wp:wrapSquare wrapText="bothSides"/>
            <wp:docPr id="1" name="Рисунок 1" descr="https://nfmadouds15.edumsko.ru/uploads/2000/1404/section/381462/depositphotos_41972523-Girls-playing.jpg?149882612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fmadouds15.edumsko.ru/uploads/2000/1404/section/381462/depositphotos_41972523-Girls-playing.jpg?14988261279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1ED">
        <w:rPr>
          <w:rFonts w:ascii="Times New Roman" w:hAnsi="Times New Roman" w:cs="Times New Roman"/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0951ED" w:rsidRPr="000951ED" w:rsidRDefault="000951ED" w:rsidP="000951ED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951ED">
        <w:rPr>
          <w:rFonts w:ascii="Times New Roman" w:hAnsi="Times New Roman" w:cs="Times New Roman"/>
          <w:sz w:val="28"/>
          <w:szCs w:val="28"/>
        </w:rPr>
        <w:t xml:space="preserve">Игра и игрушка </w:t>
      </w:r>
      <w:proofErr w:type="gramStart"/>
      <w:r w:rsidRPr="000951ED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0951ED">
        <w:rPr>
          <w:rFonts w:ascii="Times New Roman" w:hAnsi="Times New Roman" w:cs="Times New Roman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0951ED" w:rsidRPr="000951ED" w:rsidRDefault="000951ED" w:rsidP="000951ED">
      <w:p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951ED">
        <w:rPr>
          <w:rFonts w:ascii="Times New Roman" w:hAnsi="Times New Roman" w:cs="Times New Roman"/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0951ED">
        <w:rPr>
          <w:rFonts w:ascii="Times New Roman" w:hAnsi="Times New Roman" w:cs="Times New Roman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0951ED">
        <w:rPr>
          <w:rFonts w:ascii="Times New Roman" w:hAnsi="Times New Roman" w:cs="Times New Roman"/>
          <w:sz w:val="28"/>
          <w:szCs w:val="28"/>
        </w:rPr>
        <w:t>соразмеримые</w:t>
      </w:r>
      <w:proofErr w:type="spellEnd"/>
      <w:r w:rsidRPr="000951ED">
        <w:rPr>
          <w:rFonts w:ascii="Times New Roman" w:hAnsi="Times New Roman" w:cs="Times New Roman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0951ED" w:rsidRPr="000951ED" w:rsidRDefault="000951ED" w:rsidP="000951ED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951ED">
        <w:rPr>
          <w:rFonts w:ascii="Times New Roman" w:hAnsi="Times New Roman" w:cs="Times New Roman"/>
          <w:sz w:val="28"/>
          <w:szCs w:val="28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 и </w:t>
      </w:r>
      <w:r w:rsidRPr="000951ED">
        <w:rPr>
          <w:rFonts w:ascii="Times New Roman" w:hAnsi="Times New Roman" w:cs="Times New Roman"/>
          <w:sz w:val="28"/>
          <w:szCs w:val="28"/>
        </w:rPr>
        <w:lastRenderedPageBreak/>
        <w:t>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0951ED" w:rsidRPr="000951ED" w:rsidRDefault="000951ED" w:rsidP="000951ED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951ED">
        <w:rPr>
          <w:rFonts w:ascii="Times New Roman" w:hAnsi="Times New Roman" w:cs="Times New Roman"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0951ED" w:rsidRPr="000951ED" w:rsidRDefault="000951ED" w:rsidP="000951ED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951ED">
        <w:rPr>
          <w:rFonts w:ascii="Times New Roman" w:hAnsi="Times New Roman" w:cs="Times New Roman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0951ED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Pr="000951ED">
        <w:rPr>
          <w:rFonts w:ascii="Times New Roman" w:hAnsi="Times New Roman" w:cs="Times New Roman"/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0951ED" w:rsidRPr="000951ED" w:rsidRDefault="000951ED" w:rsidP="000951ED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951ED">
        <w:rPr>
          <w:rFonts w:ascii="Times New Roman" w:hAnsi="Times New Roman" w:cs="Times New Roman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0B54CF" w:rsidRPr="000951ED" w:rsidRDefault="000951ED" w:rsidP="000951ED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951ED">
        <w:rPr>
          <w:rFonts w:ascii="Times New Roman" w:hAnsi="Times New Roman" w:cs="Times New Roman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sectPr w:rsidR="000B54CF" w:rsidRPr="000951ED" w:rsidSect="000951E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51ED"/>
    <w:rsid w:val="000951ED"/>
    <w:rsid w:val="000B54CF"/>
    <w:rsid w:val="00123421"/>
    <w:rsid w:val="001A62F5"/>
    <w:rsid w:val="001D52F0"/>
    <w:rsid w:val="00440F7C"/>
    <w:rsid w:val="00515771"/>
    <w:rsid w:val="00A06810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2017-10-03T21:41:00Z</dcterms:created>
  <dcterms:modified xsi:type="dcterms:W3CDTF">2017-10-03T21:44:00Z</dcterms:modified>
</cp:coreProperties>
</file>