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FE" w:rsidRDefault="009C74FE" w:rsidP="009C74F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C74F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Положительные результаты по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снижению </w:t>
      </w:r>
      <w:r w:rsidRPr="009C74F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заболеваемости </w:t>
      </w:r>
    </w:p>
    <w:p w:rsidR="009C74FE" w:rsidRPr="009C74FE" w:rsidRDefault="009C74FE" w:rsidP="009C74F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C74FE">
        <w:rPr>
          <w:rFonts w:ascii="Times New Roman" w:hAnsi="Times New Roman" w:cs="Times New Roman"/>
          <w:b/>
          <w:bCs/>
          <w:sz w:val="40"/>
          <w:szCs w:val="40"/>
          <w:lang w:val="ru-RU"/>
        </w:rPr>
        <w:t>детей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группы «Мечтатели»</w:t>
      </w:r>
    </w:p>
    <w:tbl>
      <w:tblPr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1000"/>
        <w:gridCol w:w="425"/>
        <w:gridCol w:w="1701"/>
        <w:gridCol w:w="992"/>
        <w:gridCol w:w="142"/>
        <w:gridCol w:w="1134"/>
        <w:gridCol w:w="704"/>
        <w:gridCol w:w="1564"/>
        <w:gridCol w:w="992"/>
        <w:gridCol w:w="2694"/>
        <w:gridCol w:w="2757"/>
        <w:gridCol w:w="318"/>
      </w:tblGrid>
      <w:tr w:rsidR="009C74FE" w:rsidTr="009C74FE">
        <w:trPr>
          <w:gridAfter w:val="1"/>
          <w:wAfter w:w="318" w:type="dxa"/>
        </w:trPr>
        <w:tc>
          <w:tcPr>
            <w:tcW w:w="15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9C74FE" w:rsidTr="009C74FE">
        <w:trPr>
          <w:gridAfter w:val="1"/>
          <w:wAfter w:w="318" w:type="dxa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Учебный год</w:t>
            </w:r>
          </w:p>
        </w:tc>
        <w:tc>
          <w:tcPr>
            <w:tcW w:w="11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1.2.1. Информация о заболеваемости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1.2.2. Информация о наличии травматизма</w:t>
            </w:r>
          </w:p>
        </w:tc>
      </w:tr>
      <w:tr w:rsidR="009C74FE" w:rsidTr="009C74FE">
        <w:trPr>
          <w:gridAfter w:val="1"/>
          <w:wAfter w:w="318" w:type="dxa"/>
          <w:trHeight w:val="82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2011-2012 учебный год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(средняя группа)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детей в группе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3" w:hanging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 пропущенных детьми по болезни (общая заболеваемость)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Пропуски по болезни одним ребёнком за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Распределение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детей по группам здоровья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Распределение детей по группам физического здоровья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Травмы отсутствуют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Приложение 1</w:t>
            </w:r>
          </w:p>
        </w:tc>
      </w:tr>
      <w:tr w:rsidR="009C74FE" w:rsidTr="009C74FE">
        <w:trPr>
          <w:gridAfter w:val="1"/>
          <w:wAfter w:w="318" w:type="dxa"/>
          <w:trHeight w:val="58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69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6,8 %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 гр. – 2 ребёнка (9%)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20 детей (91%)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0 детей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 – 15 детей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6054090" cy="2412365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837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2012-2013 учебный год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(старшая группа)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детей в группе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3" w:hanging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 пропущенных детьми по болезни (общая заболеваемость)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Пропуски по болезни одним ребёнком за год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Распределение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детей по группам здоровья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Распределение детей по группам физического здоровья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Травмы отсутствуют</w:t>
            </w:r>
          </w:p>
        </w:tc>
      </w:tr>
      <w:tr w:rsidR="009C74FE" w:rsidTr="009C74FE">
        <w:trPr>
          <w:gridAfter w:val="1"/>
          <w:wAfter w:w="318" w:type="dxa"/>
          <w:trHeight w:val="572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27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3,4 %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 гр. – 3 ребёнка (14%)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19 детей (86%)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0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10 детей.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 – 10 детей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3814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5975350" cy="239649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968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2013-2014 учебный год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(подготовительная группа)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детей в группе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3" w:hanging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 пропущенных детьми по болезни (общая заболеваемость)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Пропуски по болезни одним ребёнком за год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Распределение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детей по группам здоровья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Распределение детей по группам физического здоровья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Травмы отсутствуют</w:t>
            </w:r>
          </w:p>
        </w:tc>
      </w:tr>
      <w:tr w:rsidR="009C74FE" w:rsidTr="009C74FE">
        <w:trPr>
          <w:gridAfter w:val="1"/>
          <w:wAfter w:w="318" w:type="dxa"/>
          <w:trHeight w:val="604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825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2,1 %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 гр. – 3 ребёнка (14%)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19 детей (86%)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0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20 детей.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 – 2 детей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0 детей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4097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6054090" cy="2569845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656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 xml:space="preserve">2014-2015 учебный год </w:t>
            </w:r>
          </w:p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(2ая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младшаягруппа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детей в группе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3" w:hanging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 пропущенных детьми по болезни (общая заболеваемость)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Пропуски по болезни одним ребёнком за год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Распределение </w:t>
            </w: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детей по группам здоровья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Распределение детей по группам физического здоровья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Травмы отсутствуют</w:t>
            </w:r>
          </w:p>
        </w:tc>
      </w:tr>
      <w:tr w:rsidR="009C74FE" w:rsidTr="009C74FE">
        <w:trPr>
          <w:gridAfter w:val="1"/>
          <w:wAfter w:w="318" w:type="dxa"/>
          <w:trHeight w:val="54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Кол-во дней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69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6,5 %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 гр. – 1 ребёнка (4%)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–22 ребёнка (96%)</w:t>
            </w:r>
          </w:p>
          <w:p w:rsidR="009C74FE" w:rsidRDefault="009C74FE">
            <w:pPr>
              <w:ind w:left="-46" w:right="-1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0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. – 10 детей</w:t>
            </w:r>
          </w:p>
          <w:p w:rsidR="009C74FE" w:rsidRDefault="009C74FE">
            <w:pPr>
              <w:ind w:right="-108"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11 детей.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rPr>
          <w:gridAfter w:val="1"/>
          <w:wAfter w:w="318" w:type="dxa"/>
          <w:trHeight w:val="3703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6054090" cy="2459355"/>
                  <wp:effectExtent l="0" t="0" r="0" b="0"/>
                  <wp:docPr id="4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FE" w:rsidRDefault="009C7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C74FE" w:rsidTr="009C74FE">
        <w:tc>
          <w:tcPr>
            <w:tcW w:w="761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Сравнительная диаграмма по заболеваемости детей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межаттестационный период</w:t>
            </w:r>
          </w:p>
        </w:tc>
        <w:tc>
          <w:tcPr>
            <w:tcW w:w="83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74FE" w:rsidRDefault="009C7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Сравнительная диаграмма распределения детей по группам физического развития</w:t>
            </w:r>
          </w:p>
        </w:tc>
      </w:tr>
    </w:tbl>
    <w:p w:rsidR="009C74FE" w:rsidRDefault="009C74FE" w:rsidP="009C74F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/>
        </w:rPr>
        <w:drawing>
          <wp:inline distT="0" distB="0" distL="0" distR="0">
            <wp:extent cx="4193540" cy="234886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val="ru-RU"/>
        </w:rPr>
        <w:drawing>
          <wp:inline distT="0" distB="0" distL="0" distR="0">
            <wp:extent cx="4698365" cy="252222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74FE" w:rsidRDefault="009C74FE" w:rsidP="009C74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Динамика показателей здоровья детей обеспечивается показателями физического развития, распределением по группам здоровья, уровнем физической подготовленности.</w:t>
      </w:r>
    </w:p>
    <w:p w:rsidR="009C74FE" w:rsidRDefault="009C74FE" w:rsidP="009C74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видно из таблицы и диаграммы уровень заболеваемости детей в группе уменьшается, возросла посещаемость детей. Этому способствовала оздоровительно-профилактическая работа: эффективно организованная методическая работы, внедрение инновационных образовательных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9C74FE" w:rsidRDefault="009C74FE" w:rsidP="009C74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Благодаря системной работе, по охране жизни и здоровья дошкольников, в течение 2011 по 2014 год в группе не отмечено вспы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шек инфекционных заболеваний и случаев травматизма среди воспитанников. Всё это говорит о плодотворной, систематической работе по охране и укреплению здоровья воспитанников. Таким образом, реализуемый комплекс оздоровительных мероприятий,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9C74FE" w:rsidRDefault="009C74FE" w:rsidP="009C74F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2014-2015 учебном году заболеваемость снова повысилась. Это связано с тем, что шла адаптация вновь набранных детей во 2ую младшую группу. Дети были с низкой физической активностью, дома отсутствовали закаливающие мероприятия. Поэтому одним из приоритетных направлений работы на 2014-2015 учебный год была работа по охране и укреплению здоровья.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B54CF" w:rsidRPr="009C74FE" w:rsidRDefault="000B54CF" w:rsidP="009C74FE">
      <w:pPr>
        <w:rPr>
          <w:lang w:val="ru-RU"/>
        </w:rPr>
      </w:pPr>
    </w:p>
    <w:sectPr w:rsidR="000B54CF" w:rsidRPr="009C74FE" w:rsidSect="009C74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4FE"/>
    <w:rsid w:val="000B54CF"/>
    <w:rsid w:val="001D52F0"/>
    <w:rsid w:val="002A65AA"/>
    <w:rsid w:val="00440F7C"/>
    <w:rsid w:val="00515771"/>
    <w:rsid w:val="009C74FE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FE"/>
    <w:pPr>
      <w:ind w:left="0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F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690095846645413E-2"/>
          <c:y val="0.21311475409836073"/>
          <c:w val="0.89936102236421722"/>
          <c:h val="0.5286885245901639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графический анализ заболеваемости за 2011-2012 учебный год</c:v>
                </c:pt>
              </c:strCache>
            </c:strRef>
          </c:tx>
          <c:spPr>
            <a:ln w="2532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10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0</c:v>
                </c:pt>
                <c:pt idx="1">
                  <c:v>сентябрь</c:v>
                </c:pt>
                <c:pt idx="2">
                  <c:v>октябрь</c:v>
                </c:pt>
                <c:pt idx="3">
                  <c:v>ноябрь</c:v>
                </c:pt>
                <c:pt idx="4">
                  <c:v>декабрь</c:v>
                </c:pt>
                <c:pt idx="5">
                  <c:v>январь</c:v>
                </c:pt>
                <c:pt idx="6">
                  <c:v>февраль</c:v>
                </c:pt>
                <c:pt idx="7">
                  <c:v>март</c:v>
                </c:pt>
                <c:pt idx="8">
                  <c:v>апрель</c:v>
                </c:pt>
                <c:pt idx="9">
                  <c:v>май</c:v>
                </c:pt>
                <c:pt idx="10">
                  <c:v>июнь</c:v>
                </c:pt>
                <c:pt idx="11">
                  <c:v>июль</c:v>
                </c:pt>
                <c:pt idx="12">
                  <c:v>август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1">
                  <c:v>24</c:v>
                </c:pt>
                <c:pt idx="2">
                  <c:v>34</c:v>
                </c:pt>
                <c:pt idx="3">
                  <c:v>39</c:v>
                </c:pt>
                <c:pt idx="4">
                  <c:v>89</c:v>
                </c:pt>
                <c:pt idx="5">
                  <c:v>32</c:v>
                </c:pt>
                <c:pt idx="6">
                  <c:v>37</c:v>
                </c:pt>
                <c:pt idx="7">
                  <c:v>46</c:v>
                </c:pt>
                <c:pt idx="8">
                  <c:v>53</c:v>
                </c:pt>
                <c:pt idx="9">
                  <c:v>9</c:v>
                </c:pt>
                <c:pt idx="10">
                  <c:v>20</c:v>
                </c:pt>
                <c:pt idx="11">
                  <c:v>0</c:v>
                </c:pt>
                <c:pt idx="12">
                  <c:v>7</c:v>
                </c:pt>
              </c:numCache>
            </c:numRef>
          </c:val>
          <c:smooth val="1"/>
        </c:ser>
        <c:marker val="1"/>
        <c:axId val="104386944"/>
        <c:axId val="138699904"/>
      </c:lineChart>
      <c:catAx>
        <c:axId val="104386944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699904"/>
        <c:crosses val="autoZero"/>
        <c:auto val="1"/>
        <c:lblAlgn val="ctr"/>
        <c:lblOffset val="100"/>
        <c:tickLblSkip val="1"/>
        <c:tickMarkSkip val="1"/>
      </c:catAx>
      <c:valAx>
        <c:axId val="138699904"/>
        <c:scaling>
          <c:orientation val="minMax"/>
          <c:min val="0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86944"/>
        <c:crosses val="autoZero"/>
        <c:crossBetween val="midCat"/>
      </c:valAx>
      <c:spPr>
        <a:noFill/>
        <a:ln w="12662">
          <a:solidFill>
            <a:srgbClr val="CCFFFF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8530351437699685"/>
          <c:y val="1.2295081967213118E-2"/>
          <c:w val="0.66613418530351465"/>
          <c:h val="0.10245901639344257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8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8346839546191277E-2"/>
          <c:y val="0.2148760330578513"/>
          <c:w val="0.9092382495948137"/>
          <c:h val="0.5247933884297520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графический анализ заболеваемости за 2012-2013 учебный год</c:v>
                </c:pt>
              </c:strCache>
            </c:strRef>
          </c:tx>
          <c:spPr>
            <a:ln w="25360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0</c:v>
                </c:pt>
                <c:pt idx="1">
                  <c:v>сентябрь</c:v>
                </c:pt>
                <c:pt idx="2">
                  <c:v>октябрь</c:v>
                </c:pt>
                <c:pt idx="3">
                  <c:v>ноябрь</c:v>
                </c:pt>
                <c:pt idx="4">
                  <c:v>декабрь</c:v>
                </c:pt>
                <c:pt idx="5">
                  <c:v>январь</c:v>
                </c:pt>
                <c:pt idx="6">
                  <c:v>февраль</c:v>
                </c:pt>
                <c:pt idx="7">
                  <c:v>март</c:v>
                </c:pt>
                <c:pt idx="8">
                  <c:v>апрель</c:v>
                </c:pt>
                <c:pt idx="9">
                  <c:v>май</c:v>
                </c:pt>
                <c:pt idx="10">
                  <c:v>июнь</c:v>
                </c:pt>
                <c:pt idx="11">
                  <c:v>июль</c:v>
                </c:pt>
                <c:pt idx="12">
                  <c:v>август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1">
                  <c:v>11</c:v>
                </c:pt>
                <c:pt idx="2">
                  <c:v>35</c:v>
                </c:pt>
                <c:pt idx="3">
                  <c:v>0</c:v>
                </c:pt>
                <c:pt idx="4">
                  <c:v>18</c:v>
                </c:pt>
                <c:pt idx="5">
                  <c:v>26</c:v>
                </c:pt>
                <c:pt idx="6">
                  <c:v>26</c:v>
                </c:pt>
                <c:pt idx="7">
                  <c:v>22</c:v>
                </c:pt>
                <c:pt idx="8">
                  <c:v>15</c:v>
                </c:pt>
                <c:pt idx="9">
                  <c:v>9</c:v>
                </c:pt>
                <c:pt idx="10">
                  <c:v>6</c:v>
                </c:pt>
                <c:pt idx="11">
                  <c:v>7</c:v>
                </c:pt>
                <c:pt idx="12">
                  <c:v>12</c:v>
                </c:pt>
              </c:numCache>
            </c:numRef>
          </c:val>
          <c:smooth val="1"/>
        </c:ser>
        <c:marker val="1"/>
        <c:axId val="167287424"/>
        <c:axId val="167469440"/>
      </c:lineChart>
      <c:catAx>
        <c:axId val="167287424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69440"/>
        <c:crosses val="autoZero"/>
        <c:auto val="1"/>
        <c:lblAlgn val="ctr"/>
        <c:lblOffset val="100"/>
        <c:tickLblSkip val="1"/>
        <c:tickMarkSkip val="1"/>
      </c:catAx>
      <c:valAx>
        <c:axId val="167469440"/>
        <c:scaling>
          <c:orientation val="minMax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287424"/>
        <c:crosses val="autoZero"/>
        <c:crossBetween val="midCat"/>
      </c:valAx>
      <c:spPr>
        <a:noFill/>
        <a:ln w="1268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750405186385737"/>
          <c:y val="1.2396694214876033E-2"/>
          <c:w val="0.67585089141004884"/>
          <c:h val="0.1033057851239669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70287539936102E-2"/>
          <c:y val="0.20849420849420858"/>
          <c:w val="0.90734824281150162"/>
          <c:h val="0.5482625482625480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графический анализ заболеваемости за 2013-2014 учебный год</c:v>
                </c:pt>
              </c:strCache>
            </c:strRef>
          </c:tx>
          <c:spPr>
            <a:ln w="25384">
              <a:solidFill>
                <a:srgbClr val="008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0</c:v>
                </c:pt>
                <c:pt idx="1">
                  <c:v>сентябрь</c:v>
                </c:pt>
                <c:pt idx="2">
                  <c:v>октябрь</c:v>
                </c:pt>
                <c:pt idx="3">
                  <c:v>ноябрь</c:v>
                </c:pt>
                <c:pt idx="4">
                  <c:v>декабрь</c:v>
                </c:pt>
                <c:pt idx="5">
                  <c:v>январь</c:v>
                </c:pt>
                <c:pt idx="6">
                  <c:v>февраль</c:v>
                </c:pt>
                <c:pt idx="7">
                  <c:v>март</c:v>
                </c:pt>
                <c:pt idx="8">
                  <c:v>апрель</c:v>
                </c:pt>
                <c:pt idx="9">
                  <c:v>май</c:v>
                </c:pt>
                <c:pt idx="10">
                  <c:v>июнь</c:v>
                </c:pt>
                <c:pt idx="11">
                  <c:v>июль</c:v>
                </c:pt>
                <c:pt idx="12">
                  <c:v>август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14</c:v>
                </c:pt>
                <c:pt idx="6">
                  <c:v>9</c:v>
                </c:pt>
                <c:pt idx="7">
                  <c:v>0</c:v>
                </c:pt>
                <c:pt idx="8">
                  <c:v>19</c:v>
                </c:pt>
                <c:pt idx="9">
                  <c:v>14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1"/>
        </c:ser>
        <c:marker val="1"/>
        <c:axId val="168751104"/>
        <c:axId val="168889344"/>
      </c:lineChart>
      <c:catAx>
        <c:axId val="16875110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889344"/>
        <c:crosses val="autoZero"/>
        <c:auto val="1"/>
        <c:lblAlgn val="ctr"/>
        <c:lblOffset val="100"/>
        <c:tickLblSkip val="1"/>
        <c:tickMarkSkip val="1"/>
      </c:catAx>
      <c:valAx>
        <c:axId val="168889344"/>
        <c:scaling>
          <c:orientation val="minMax"/>
          <c:min val="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751104"/>
        <c:crosses val="autoZero"/>
        <c:crossBetween val="midCat"/>
      </c:valAx>
      <c:spPr>
        <a:noFill/>
        <a:ln w="12692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6613418530351437"/>
          <c:y val="1.1583011583011586E-2"/>
          <c:w val="0.69648562300319516"/>
          <c:h val="0.10038610038610044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3130990415336E-2"/>
          <c:y val="0.12449799196787149"/>
          <c:w val="0.90734824281150162"/>
          <c:h val="0.5341365461847387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графический анализ заболеваемости за 2014-2015 учебный год</c:v>
                </c:pt>
              </c:strCache>
            </c:strRef>
          </c:tx>
          <c:spPr>
            <a:ln w="25322">
              <a:solidFill>
                <a:srgbClr val="FF66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</c:spPr>
          </c:marker>
          <c:dLbls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10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0</c:v>
                </c:pt>
                <c:pt idx="1">
                  <c:v>сентябрь</c:v>
                </c:pt>
                <c:pt idx="2">
                  <c:v>октябрь</c:v>
                </c:pt>
                <c:pt idx="3">
                  <c:v>ноябрь</c:v>
                </c:pt>
                <c:pt idx="4">
                  <c:v>декабрь</c:v>
                </c:pt>
                <c:pt idx="5">
                  <c:v>январь</c:v>
                </c:pt>
                <c:pt idx="6">
                  <c:v>февраль</c:v>
                </c:pt>
                <c:pt idx="7">
                  <c:v>март</c:v>
                </c:pt>
                <c:pt idx="8">
                  <c:v>апрель</c:v>
                </c:pt>
                <c:pt idx="9">
                  <c:v>май</c:v>
                </c:pt>
                <c:pt idx="10">
                  <c:v>июнь</c:v>
                </c:pt>
                <c:pt idx="11">
                  <c:v>июль</c:v>
                </c:pt>
                <c:pt idx="12">
                  <c:v>август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1">
                  <c:v>35</c:v>
                </c:pt>
                <c:pt idx="2">
                  <c:v>33</c:v>
                </c:pt>
                <c:pt idx="3">
                  <c:v>40</c:v>
                </c:pt>
                <c:pt idx="4">
                  <c:v>40</c:v>
                </c:pt>
                <c:pt idx="5">
                  <c:v>53</c:v>
                </c:pt>
                <c:pt idx="6">
                  <c:v>39</c:v>
                </c:pt>
                <c:pt idx="7">
                  <c:v>32</c:v>
                </c:pt>
                <c:pt idx="8">
                  <c:v>52</c:v>
                </c:pt>
                <c:pt idx="9">
                  <c:v>19</c:v>
                </c:pt>
                <c:pt idx="10">
                  <c:v>14</c:v>
                </c:pt>
                <c:pt idx="11">
                  <c:v>14</c:v>
                </c:pt>
                <c:pt idx="12">
                  <c:v>7</c:v>
                </c:pt>
              </c:numCache>
            </c:numRef>
          </c:val>
          <c:smooth val="1"/>
        </c:ser>
        <c:marker val="1"/>
        <c:axId val="168945920"/>
        <c:axId val="169046016"/>
      </c:lineChart>
      <c:catAx>
        <c:axId val="168945920"/>
        <c:scaling>
          <c:orientation val="minMax"/>
        </c:scaling>
        <c:axPos val="b"/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046016"/>
        <c:crosses val="autoZero"/>
        <c:auto val="1"/>
        <c:lblAlgn val="ctr"/>
        <c:lblOffset val="100"/>
        <c:tickLblSkip val="1"/>
        <c:tickMarkSkip val="1"/>
      </c:catAx>
      <c:valAx>
        <c:axId val="169046016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945920"/>
        <c:crosses val="autoZero"/>
        <c:crossBetween val="midCat"/>
      </c:valAx>
      <c:spPr>
        <a:noFill/>
        <a:ln w="1266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613418530351437"/>
          <c:y val="4.0160642570281103E-3"/>
          <c:w val="0.69648562300319516"/>
          <c:h val="0.10441767068273092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0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645011600928072E-2"/>
          <c:y val="0.15546218487394969"/>
          <c:w val="0.91879350348027866"/>
          <c:h val="0.449579831932773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диаграмма заболеваемости детей группы № 8 "Мечтатели"</c:v>
                </c:pt>
              </c:strCache>
            </c:strRef>
          </c:tx>
          <c:spPr>
            <a:solidFill>
              <a:srgbClr val="9999FF"/>
            </a:solidFill>
            <a:ln w="1262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267251008890747E-2"/>
                  <c:y val="-3.7985124122258442E-2"/>
                </c:manualLayout>
              </c:layout>
              <c:showVal val="1"/>
            </c:dLbl>
            <c:dLbl>
              <c:idx val="1"/>
              <c:layout>
                <c:manualLayout>
                  <c:x val="3.0711119069926646E-3"/>
                  <c:y val="-5.3196286273575998E-2"/>
                </c:manualLayout>
              </c:layout>
              <c:showVal val="1"/>
            </c:dLbl>
            <c:dLbl>
              <c:idx val="2"/>
              <c:layout>
                <c:manualLayout>
                  <c:x val="-9.8048415800561072E-3"/>
                  <c:y val="-5.9455874871230038E-2"/>
                </c:manualLayout>
              </c:layout>
              <c:showVal val="1"/>
            </c:dLbl>
            <c:dLbl>
              <c:idx val="3"/>
              <c:layout>
                <c:manualLayout>
                  <c:x val="-2.2680795067105054E-2"/>
                  <c:y val="-4.2265181644050603E-2"/>
                </c:manualLayout>
              </c:layout>
              <c:showVal val="1"/>
            </c:dLbl>
            <c:spPr>
              <a:noFill/>
              <a:ln w="25257">
                <a:noFill/>
              </a:ln>
            </c:spPr>
            <c:txPr>
              <a:bodyPr/>
              <a:lstStyle/>
              <a:p>
                <a:pPr>
                  <a:defRPr sz="1144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390</c:v>
                </c:pt>
                <c:pt idx="1">
                  <c:v>187</c:v>
                </c:pt>
                <c:pt idx="2">
                  <c:v>117</c:v>
                </c:pt>
                <c:pt idx="3">
                  <c:v>371</c:v>
                </c:pt>
              </c:numCache>
            </c:numRef>
          </c:val>
        </c:ser>
        <c:gapDepth val="0"/>
        <c:shape val="box"/>
        <c:axId val="169578880"/>
        <c:axId val="169653376"/>
        <c:axId val="0"/>
      </c:bar3DChart>
      <c:catAx>
        <c:axId val="169578880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653376"/>
        <c:crosses val="autoZero"/>
        <c:auto val="1"/>
        <c:lblAlgn val="ctr"/>
        <c:lblOffset val="100"/>
        <c:tickLblSkip val="1"/>
        <c:tickMarkSkip val="1"/>
      </c:catAx>
      <c:valAx>
        <c:axId val="169653376"/>
        <c:scaling>
          <c:orientation val="minMax"/>
        </c:scaling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578880"/>
        <c:crosses val="autoZero"/>
        <c:crossBetween val="between"/>
      </c:valAx>
      <c:spPr>
        <a:noFill/>
        <a:ln w="25257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94" b="1" i="0" u="none" strike="noStrike" baseline="0">
                <a:solidFill>
                  <a:srgbClr val="003366"/>
                </a:solidFill>
                <a:latin typeface="08 Underground"/>
                <a:ea typeface="08 Underground"/>
                <a:cs typeface="08 Underground"/>
              </a:defRPr>
            </a:pPr>
            <a:endParaRPr lang="ru-RU"/>
          </a:p>
        </c:txPr>
      </c:legendEntry>
      <c:layout>
        <c:manualLayout>
          <c:xMode val="edge"/>
          <c:yMode val="edge"/>
          <c:x val="1.6241299303944315E-2"/>
          <c:y val="0.79411764705882371"/>
          <c:w val="0.97679814385150832"/>
          <c:h val="0.19327731092436976"/>
        </c:manualLayout>
      </c:layout>
      <c:spPr>
        <a:noFill/>
        <a:ln w="25257">
          <a:noFill/>
        </a:ln>
      </c:spPr>
      <c:txPr>
        <a:bodyPr/>
        <a:lstStyle/>
        <a:p>
          <a:pPr>
            <a:defRPr sz="1094" b="1" i="0" u="none" strike="noStrike" baseline="0">
              <a:solidFill>
                <a:srgbClr val="003366"/>
              </a:solidFill>
              <a:latin typeface="08 Underground"/>
              <a:ea typeface="08 Underground"/>
              <a:cs typeface="08 Underground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45454545454547E-2"/>
          <c:y val="7.0866141732283491E-2"/>
          <c:w val="0.95454545454545492"/>
          <c:h val="0.649606299212598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342404324880573E-3"/>
                  <c:y val="5.1359516616315505E-3"/>
                </c:manualLayout>
              </c:layout>
              <c:showVal val="1"/>
            </c:dLbl>
            <c:dLbl>
              <c:idx val="1"/>
              <c:layout>
                <c:manualLayout>
                  <c:x val="-4.9986414739511152E-3"/>
                  <c:y val="-5.9748951320654138E-4"/>
                </c:manualLayout>
              </c:layout>
              <c:showVal val="1"/>
            </c:dLbl>
            <c:dLbl>
              <c:idx val="2"/>
              <c:layout>
                <c:manualLayout>
                  <c:x val="-3.7943747320643168E-3"/>
                  <c:y val="-2.2785482630381182E-3"/>
                </c:manualLayout>
              </c:layout>
              <c:showVal val="1"/>
            </c:dLbl>
            <c:dLbl>
              <c:idx val="3"/>
              <c:layout>
                <c:manualLayout>
                  <c:x val="-8.6195744742677861E-3"/>
                  <c:y val="-2.0512088556906262E-2"/>
                </c:manualLayout>
              </c:layout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20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9240929451874009E-4"/>
                  <c:y val="-1.7186050384185317E-2"/>
                </c:manualLayout>
              </c:layout>
              <c:showVal val="1"/>
            </c:dLbl>
            <c:dLbl>
              <c:idx val="1"/>
              <c:layout>
                <c:manualLayout>
                  <c:x val="-4.5014582310341977E-3"/>
                  <c:y val="-5.9748951320654138E-4"/>
                </c:manualLayout>
              </c:layout>
              <c:showVal val="1"/>
            </c:dLbl>
            <c:dLbl>
              <c:idx val="2"/>
              <c:layout>
                <c:manualLayout>
                  <c:x val="-1.062195163320059E-3"/>
                  <c:y val="-4.764057060842963E-3"/>
                </c:manualLayout>
              </c:layout>
              <c:showVal val="1"/>
            </c:dLbl>
            <c:dLbl>
              <c:idx val="3"/>
              <c:layout>
                <c:manualLayout>
                  <c:x val="-8.2912718546990401E-3"/>
                  <c:y val="-1.2408513135253931E-2"/>
                </c:manualLayout>
              </c:layout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8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2907045657426084E-3"/>
                  <c:y val="1.0028466985433422E-2"/>
                </c:manualLayout>
              </c:layout>
              <c:showVal val="1"/>
            </c:dLbl>
            <c:dLbl>
              <c:idx val="1"/>
              <c:layout>
                <c:manualLayout>
                  <c:x val="4.4290684451483917E-3"/>
                  <c:y val="-4.764057060842963E-3"/>
                </c:manualLayout>
              </c:layout>
              <c:showVal val="1"/>
            </c:dLbl>
            <c:dLbl>
              <c:idx val="2"/>
              <c:layout>
                <c:manualLayout>
                  <c:x val="-2.6311276228823625E-3"/>
                  <c:y val="-2.8530421612705868E-3"/>
                </c:manualLayout>
              </c:layout>
              <c:showVal val="1"/>
            </c:dLbl>
            <c:dLbl>
              <c:idx val="3"/>
              <c:layout>
                <c:manualLayout>
                  <c:x val="-3.6618572068234036E-3"/>
                  <c:y val="2.384010911022845E-3"/>
                </c:manualLayout>
              </c:layout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gapDepth val="0"/>
        <c:shape val="box"/>
        <c:axId val="170325888"/>
        <c:axId val="170327424"/>
        <c:axId val="0"/>
      </c:bar3DChart>
      <c:catAx>
        <c:axId val="17032588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327424"/>
        <c:crosses val="autoZero"/>
        <c:auto val="1"/>
        <c:lblAlgn val="ctr"/>
        <c:lblOffset val="100"/>
        <c:tickLblSkip val="1"/>
        <c:tickMarkSkip val="1"/>
      </c:catAx>
      <c:valAx>
        <c:axId val="1703274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325888"/>
        <c:crosses val="autoZero"/>
        <c:crossBetween val="between"/>
      </c:valAx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6.1983471074380181E-2"/>
          <c:y val="0.8937007874015751"/>
          <c:w val="0.87809917355371947"/>
          <c:h val="9.8425196850393734E-2"/>
        </c:manualLayout>
      </c:layout>
      <c:spPr>
        <a:noFill/>
        <a:ln w="25362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2016-01-17T20:33:00Z</dcterms:created>
  <dcterms:modified xsi:type="dcterms:W3CDTF">2016-01-17T20:38:00Z</dcterms:modified>
</cp:coreProperties>
</file>