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13" w:rsidRDefault="008B7AC2" w:rsidP="007A2C13">
      <w:pPr>
        <w:pStyle w:val="a3"/>
        <w:ind w:left="0"/>
      </w:pPr>
      <w:r>
        <w:t>Данные по мониторингу</w:t>
      </w:r>
      <w:r w:rsidR="00996E21">
        <w:t xml:space="preserve"> в конце</w:t>
      </w:r>
      <w:r w:rsidR="00BA1358">
        <w:t xml:space="preserve"> 2013, 2014, 2015 учебного года.</w:t>
      </w:r>
    </w:p>
    <w:p w:rsidR="007A2C13" w:rsidRDefault="007A2C13" w:rsidP="007A2C13">
      <w:pPr>
        <w:pStyle w:val="a3"/>
        <w:ind w:left="0"/>
      </w:pPr>
      <w:r w:rsidRPr="005C5FDE">
        <w:rPr>
          <w:noProof/>
          <w:color w:val="FF0000"/>
        </w:rPr>
        <w:drawing>
          <wp:inline distT="0" distB="0" distL="0" distR="0">
            <wp:extent cx="3724718" cy="25943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3546977" cy="253292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2C13" w:rsidRDefault="007A2C13" w:rsidP="007A2C13">
      <w:pPr>
        <w:pStyle w:val="a3"/>
        <w:ind w:left="0"/>
      </w:pPr>
      <w:r>
        <w:rPr>
          <w:noProof/>
        </w:rPr>
        <w:drawing>
          <wp:inline distT="0" distB="0" distL="0" distR="0">
            <wp:extent cx="3965944" cy="2966484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                     </w:t>
      </w:r>
      <w:r w:rsidRPr="0065704B">
        <w:rPr>
          <w:noProof/>
        </w:rPr>
        <w:drawing>
          <wp:inline distT="0" distB="0" distL="0" distR="0">
            <wp:extent cx="3540642" cy="2775097"/>
            <wp:effectExtent l="0" t="0" r="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1358" w:rsidRDefault="008B7AC2" w:rsidP="00BA1358">
      <w:pPr>
        <w:pStyle w:val="a3"/>
        <w:ind w:left="0"/>
      </w:pPr>
      <w:r>
        <w:lastRenderedPageBreak/>
        <w:t>Дан</w:t>
      </w:r>
      <w:r w:rsidR="00996E21">
        <w:t>ные по мониторингу  в конце</w:t>
      </w:r>
      <w:r>
        <w:t xml:space="preserve"> </w:t>
      </w:r>
      <w:r w:rsidR="00BA1358">
        <w:t xml:space="preserve"> 2014, 2015, 2016 учебного года.</w:t>
      </w:r>
    </w:p>
    <w:p w:rsidR="007A2C13" w:rsidRDefault="007A2C13" w:rsidP="007A2C13">
      <w:pPr>
        <w:pStyle w:val="a3"/>
        <w:ind w:left="0"/>
      </w:pPr>
      <w:r w:rsidRPr="0065704B">
        <w:rPr>
          <w:noProof/>
        </w:rPr>
        <w:drawing>
          <wp:inline distT="0" distB="0" distL="0" distR="0">
            <wp:extent cx="3724718" cy="2594345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         </w:t>
      </w:r>
      <w:r w:rsidRPr="001A1AB3">
        <w:rPr>
          <w:noProof/>
        </w:rPr>
        <w:drawing>
          <wp:inline distT="0" distB="0" distL="0" distR="0">
            <wp:extent cx="3691713" cy="2594344"/>
            <wp:effectExtent l="0" t="0" r="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C13" w:rsidRDefault="007A2C13" w:rsidP="007A2C13">
      <w:pPr>
        <w:pStyle w:val="a3"/>
        <w:ind w:left="0"/>
      </w:pPr>
      <w:r w:rsidRPr="001A1AB3">
        <w:rPr>
          <w:noProof/>
        </w:rPr>
        <w:drawing>
          <wp:inline distT="0" distB="0" distL="0" distR="0">
            <wp:extent cx="3891516" cy="3019647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                </w:t>
      </w:r>
      <w:r w:rsidRPr="001A1AB3">
        <w:rPr>
          <w:noProof/>
        </w:rPr>
        <w:drawing>
          <wp:inline distT="0" distB="0" distL="0" distR="0">
            <wp:extent cx="3721395" cy="3019647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1358" w:rsidRDefault="008B7AC2" w:rsidP="00BA1358">
      <w:pPr>
        <w:pStyle w:val="a3"/>
        <w:ind w:left="0"/>
      </w:pPr>
      <w:r>
        <w:lastRenderedPageBreak/>
        <w:t xml:space="preserve">Данные по мониторингу </w:t>
      </w:r>
      <w:r w:rsidR="00996E21">
        <w:t xml:space="preserve">в конце </w:t>
      </w:r>
      <w:r>
        <w:t xml:space="preserve"> 2015, 2016, </w:t>
      </w:r>
      <w:r w:rsidR="00BA1358">
        <w:t xml:space="preserve"> учебного года.</w:t>
      </w:r>
    </w:p>
    <w:p w:rsidR="00BA1358" w:rsidRDefault="00BA1358" w:rsidP="00BA1358">
      <w:pPr>
        <w:tabs>
          <w:tab w:val="left" w:pos="8364"/>
          <w:tab w:val="left" w:pos="8647"/>
        </w:tabs>
      </w:pPr>
    </w:p>
    <w:p w:rsidR="009D18A5" w:rsidRDefault="00AF6E19" w:rsidP="00BA1358">
      <w:pPr>
        <w:tabs>
          <w:tab w:val="left" w:pos="8364"/>
          <w:tab w:val="left" w:pos="8647"/>
        </w:tabs>
      </w:pPr>
      <w:r w:rsidRPr="00CB3690">
        <w:rPr>
          <w:noProof/>
          <w:lang w:eastAsia="ru-RU"/>
        </w:rPr>
        <w:drawing>
          <wp:inline distT="0" distB="0" distL="0" distR="0">
            <wp:extent cx="3724718" cy="2594345"/>
            <wp:effectExtent l="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                   </w:t>
      </w:r>
      <w:r w:rsidRPr="00CB3690">
        <w:rPr>
          <w:noProof/>
          <w:lang w:eastAsia="ru-RU"/>
        </w:rPr>
        <w:drawing>
          <wp:inline distT="0" distB="0" distL="0" distR="0">
            <wp:extent cx="3691713" cy="2594344"/>
            <wp:effectExtent l="0" t="0" r="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D18A5" w:rsidRPr="00CB3690">
        <w:rPr>
          <w:noProof/>
          <w:lang w:eastAsia="ru-RU"/>
        </w:rPr>
        <w:drawing>
          <wp:inline distT="0" distB="0" distL="0" distR="0">
            <wp:extent cx="3724718" cy="2594345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D18A5">
        <w:t xml:space="preserve">                  </w:t>
      </w:r>
      <w:r w:rsidR="009D18A5" w:rsidRPr="00CB3690">
        <w:rPr>
          <w:noProof/>
          <w:lang w:eastAsia="ru-RU"/>
        </w:rPr>
        <w:drawing>
          <wp:inline distT="0" distB="0" distL="0" distR="0">
            <wp:extent cx="3724718" cy="2594345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9D18A5" w:rsidSect="007A2C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C13"/>
    <w:rsid w:val="00083AE9"/>
    <w:rsid w:val="000B18F8"/>
    <w:rsid w:val="00141F66"/>
    <w:rsid w:val="00247270"/>
    <w:rsid w:val="002A1649"/>
    <w:rsid w:val="004234C4"/>
    <w:rsid w:val="004E7B78"/>
    <w:rsid w:val="00546BD9"/>
    <w:rsid w:val="005C369E"/>
    <w:rsid w:val="007644D2"/>
    <w:rsid w:val="007A2C13"/>
    <w:rsid w:val="008B7AC2"/>
    <w:rsid w:val="00973CD6"/>
    <w:rsid w:val="00996E21"/>
    <w:rsid w:val="009A6A65"/>
    <w:rsid w:val="009D18A5"/>
    <w:rsid w:val="00AB562F"/>
    <w:rsid w:val="00AC3F2C"/>
    <w:rsid w:val="00AF25A8"/>
    <w:rsid w:val="00AF40E7"/>
    <w:rsid w:val="00AF6E19"/>
    <w:rsid w:val="00BA1358"/>
    <w:rsid w:val="00C86E9B"/>
    <w:rsid w:val="00C96A34"/>
    <w:rsid w:val="00D23570"/>
    <w:rsid w:val="00D41AF5"/>
    <w:rsid w:val="00EF7F24"/>
    <w:rsid w:val="00F25E17"/>
    <w:rsid w:val="00F8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восприятие музыки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  -2014 старшая </c:v>
                </c:pt>
                <c:pt idx="2">
                  <c:v>2014 -2015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0.4</c:v>
                </c:pt>
                <c:pt idx="2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  -2014 старшая </c:v>
                </c:pt>
                <c:pt idx="2">
                  <c:v>2014 -2015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0.6</c:v>
                </c:pt>
                <c:pt idx="2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  -2014 старшая </c:v>
                </c:pt>
                <c:pt idx="2">
                  <c:v>2014 -2015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78313728"/>
        <c:axId val="45023232"/>
      </c:barChart>
      <c:catAx>
        <c:axId val="78313728"/>
        <c:scaling>
          <c:orientation val="minMax"/>
        </c:scaling>
        <c:axPos val="b"/>
        <c:tickLblPos val="nextTo"/>
        <c:crossAx val="45023232"/>
        <c:crosses val="autoZero"/>
        <c:auto val="1"/>
        <c:lblAlgn val="ctr"/>
        <c:lblOffset val="100"/>
      </c:catAx>
      <c:valAx>
        <c:axId val="45023232"/>
        <c:scaling>
          <c:orientation val="minMax"/>
        </c:scaling>
        <c:axPos val="l"/>
        <c:majorGridlines/>
        <c:numFmt formatCode="0%" sourceLinked="1"/>
        <c:tickLblPos val="nextTo"/>
        <c:crossAx val="7831372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пение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0.43000000000000005</c:v>
                </c:pt>
                <c:pt idx="1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0.38000000000000006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2.0000000000000004E-2</c:v>
                </c:pt>
              </c:numCache>
            </c:numRef>
          </c:val>
        </c:ser>
        <c:axId val="45661184"/>
        <c:axId val="45671168"/>
      </c:barChart>
      <c:catAx>
        <c:axId val="45661184"/>
        <c:scaling>
          <c:orientation val="minMax"/>
        </c:scaling>
        <c:axPos val="b"/>
        <c:tickLblPos val="nextTo"/>
        <c:crossAx val="45671168"/>
        <c:crosses val="autoZero"/>
        <c:auto val="1"/>
        <c:lblAlgn val="ctr"/>
        <c:lblOffset val="100"/>
      </c:catAx>
      <c:valAx>
        <c:axId val="45671168"/>
        <c:scaling>
          <c:orientation val="minMax"/>
        </c:scaling>
        <c:axPos val="l"/>
        <c:majorGridlines/>
        <c:numFmt formatCode="0%" sourceLinked="1"/>
        <c:tickLblPos val="nextTo"/>
        <c:crossAx val="4566118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музыка</a:t>
            </a:r>
            <a:r>
              <a:rPr lang="ru-RU" baseline="0"/>
              <a:t> и движение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0.65000000000000013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0.35000000000000003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45771776"/>
        <c:axId val="45802240"/>
      </c:barChart>
      <c:catAx>
        <c:axId val="45771776"/>
        <c:scaling>
          <c:orientation val="minMax"/>
        </c:scaling>
        <c:axPos val="b"/>
        <c:tickLblPos val="nextTo"/>
        <c:crossAx val="45802240"/>
        <c:crosses val="autoZero"/>
        <c:auto val="1"/>
        <c:lblAlgn val="ctr"/>
        <c:lblOffset val="100"/>
      </c:catAx>
      <c:valAx>
        <c:axId val="45802240"/>
        <c:scaling>
          <c:orientation val="minMax"/>
        </c:scaling>
        <c:axPos val="l"/>
        <c:majorGridlines/>
        <c:numFmt formatCode="0%" sourceLinked="1"/>
        <c:tickLblPos val="nextTo"/>
        <c:crossAx val="4577177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элементарное</a:t>
            </a:r>
            <a:r>
              <a:rPr lang="ru-RU" baseline="0"/>
              <a:t> музицирование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2015 -2016 старшая</c:v>
                </c:pt>
                <c:pt idx="2">
                  <c:v>2016-2017 подг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0.64000000000000012</c:v>
                </c:pt>
                <c:pt idx="1">
                  <c:v>0.72000000000000008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2015 -2016 старшая</c:v>
                </c:pt>
                <c:pt idx="2">
                  <c:v>2016-2017 подг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0.36000000000000004</c:v>
                </c:pt>
                <c:pt idx="1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2015 -2016 старшая</c:v>
                </c:pt>
                <c:pt idx="2">
                  <c:v>2016-2017 подг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45825024"/>
        <c:axId val="45847296"/>
      </c:barChart>
      <c:catAx>
        <c:axId val="45825024"/>
        <c:scaling>
          <c:orientation val="minMax"/>
        </c:scaling>
        <c:axPos val="b"/>
        <c:tickLblPos val="nextTo"/>
        <c:crossAx val="45847296"/>
        <c:crosses val="autoZero"/>
        <c:auto val="1"/>
        <c:lblAlgn val="ctr"/>
        <c:lblOffset val="100"/>
      </c:catAx>
      <c:valAx>
        <c:axId val="45847296"/>
        <c:scaling>
          <c:orientation val="minMax"/>
        </c:scaling>
        <c:axPos val="l"/>
        <c:majorGridlines/>
        <c:numFmt formatCode="0%" sourceLinked="1"/>
        <c:tickLblPos val="nextTo"/>
        <c:crossAx val="4582502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пение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2013-2014 старшая </c:v>
                </c:pt>
                <c:pt idx="2">
                  <c:v>2014 -2015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2013-2014 старшая </c:v>
                </c:pt>
                <c:pt idx="2">
                  <c:v>2014 -2015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0.49000000000000005</c:v>
                </c:pt>
                <c:pt idx="1">
                  <c:v>0.56000000000000005</c:v>
                </c:pt>
                <c:pt idx="2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2013-2014 старшая </c:v>
                </c:pt>
                <c:pt idx="2">
                  <c:v>2014 -2015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0.11</c:v>
                </c:pt>
                <c:pt idx="1">
                  <c:v>4.0000000000000008E-2</c:v>
                </c:pt>
                <c:pt idx="2">
                  <c:v>0</c:v>
                </c:pt>
              </c:numCache>
            </c:numRef>
          </c:val>
        </c:ser>
        <c:axId val="45050496"/>
        <c:axId val="45072768"/>
      </c:barChart>
      <c:catAx>
        <c:axId val="45050496"/>
        <c:scaling>
          <c:orientation val="minMax"/>
        </c:scaling>
        <c:axPos val="b"/>
        <c:tickLblPos val="nextTo"/>
        <c:crossAx val="45072768"/>
        <c:crosses val="autoZero"/>
        <c:auto val="1"/>
        <c:lblAlgn val="ctr"/>
        <c:lblOffset val="100"/>
      </c:catAx>
      <c:valAx>
        <c:axId val="45072768"/>
        <c:scaling>
          <c:orientation val="minMax"/>
        </c:scaling>
        <c:axPos val="l"/>
        <c:majorGridlines/>
        <c:numFmt formatCode="0%" sourceLinked="1"/>
        <c:tickLblPos val="nextTo"/>
        <c:crossAx val="4505049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музыка и движение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2013 -2014 старшая</c:v>
                </c:pt>
                <c:pt idx="2">
                  <c:v>2014 -2015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0.38000000000000006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2013 -2014 старшая</c:v>
                </c:pt>
                <c:pt idx="2">
                  <c:v>2014 -2015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0.62000000000000011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2012 -2013 средняя</c:v>
                </c:pt>
                <c:pt idx="1">
                  <c:v>2013 -2014 старшая</c:v>
                </c:pt>
                <c:pt idx="2">
                  <c:v>2014 -2015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45083264"/>
        <c:axId val="45302144"/>
      </c:barChart>
      <c:catAx>
        <c:axId val="45083264"/>
        <c:scaling>
          <c:orientation val="minMax"/>
        </c:scaling>
        <c:axPos val="b"/>
        <c:tickLblPos val="nextTo"/>
        <c:crossAx val="45302144"/>
        <c:crosses val="autoZero"/>
        <c:auto val="1"/>
        <c:lblAlgn val="ctr"/>
        <c:lblOffset val="100"/>
      </c:catAx>
      <c:valAx>
        <c:axId val="45302144"/>
        <c:scaling>
          <c:orientation val="minMax"/>
        </c:scaling>
        <c:axPos val="l"/>
        <c:majorGridlines/>
        <c:numFmt formatCode="0%" sourceLinked="1"/>
        <c:tickLblPos val="nextTo"/>
        <c:crossAx val="4508326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элементарное</a:t>
            </a:r>
            <a:r>
              <a:rPr lang="ru-RU" baseline="0"/>
              <a:t> музицирование</a:t>
            </a:r>
            <a:endParaRPr lang="ru-RU"/>
          </a:p>
        </c:rich>
      </c:tx>
      <c:layout>
        <c:manualLayout>
          <c:xMode val="edge"/>
          <c:yMode val="edge"/>
          <c:x val="0.28268296474246041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2012-2013 средняя</c:v>
                </c:pt>
                <c:pt idx="1">
                  <c:v>2013 -2014 старшая</c:v>
                </c:pt>
                <c:pt idx="2">
                  <c:v>2014 -2015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0.57999999999999996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2012-2013 средняя</c:v>
                </c:pt>
                <c:pt idx="1">
                  <c:v>2013 -2014 старшая</c:v>
                </c:pt>
                <c:pt idx="2">
                  <c:v>2014 -2015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0.42</c:v>
                </c:pt>
                <c:pt idx="2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2012-2013 средняя</c:v>
                </c:pt>
                <c:pt idx="1">
                  <c:v>2013 -2014 старшая</c:v>
                </c:pt>
                <c:pt idx="2">
                  <c:v>2014 -2015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45366272"/>
        <c:axId val="45372160"/>
      </c:barChart>
      <c:catAx>
        <c:axId val="45366272"/>
        <c:scaling>
          <c:orientation val="minMax"/>
        </c:scaling>
        <c:axPos val="b"/>
        <c:tickLblPos val="nextTo"/>
        <c:crossAx val="45372160"/>
        <c:crosses val="autoZero"/>
        <c:auto val="1"/>
        <c:lblAlgn val="ctr"/>
        <c:lblOffset val="100"/>
      </c:catAx>
      <c:valAx>
        <c:axId val="45372160"/>
        <c:scaling>
          <c:orientation val="minMax"/>
        </c:scaling>
        <c:axPos val="l"/>
        <c:majorGridlines/>
        <c:numFmt formatCode="0%" sourceLinked="1"/>
        <c:tickLblPos val="nextTo"/>
        <c:crossAx val="4536627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восприятие музыки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2014 -2015 старшая</c:v>
                </c:pt>
                <c:pt idx="2">
                  <c:v>2015 -2016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</c:v>
                </c:pt>
                <c:pt idx="1">
                  <c:v>0.44</c:v>
                </c:pt>
                <c:pt idx="2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2014 -2015 старшая</c:v>
                </c:pt>
                <c:pt idx="2">
                  <c:v>2015 -2016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0.56000000000000005</c:v>
                </c:pt>
                <c:pt idx="2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2014 -2015 старшая</c:v>
                </c:pt>
                <c:pt idx="2">
                  <c:v>2015 -2016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45386752"/>
        <c:axId val="45400832"/>
      </c:barChart>
      <c:catAx>
        <c:axId val="45386752"/>
        <c:scaling>
          <c:orientation val="minMax"/>
        </c:scaling>
        <c:axPos val="b"/>
        <c:tickLblPos val="nextTo"/>
        <c:crossAx val="45400832"/>
        <c:crosses val="autoZero"/>
        <c:auto val="1"/>
        <c:lblAlgn val="ctr"/>
        <c:lblOffset val="100"/>
      </c:catAx>
      <c:valAx>
        <c:axId val="45400832"/>
        <c:scaling>
          <c:orientation val="minMax"/>
        </c:scaling>
        <c:axPos val="l"/>
        <c:majorGridlines/>
        <c:numFmt formatCode="0%" sourceLinked="1"/>
        <c:tickLblPos val="nextTo"/>
        <c:crossAx val="4538675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пение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2014 -2015 старшая</c:v>
                </c:pt>
                <c:pt idx="2">
                  <c:v>2015 -2016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0.37000000000000005</c:v>
                </c:pt>
                <c:pt idx="1">
                  <c:v>0.4</c:v>
                </c:pt>
                <c:pt idx="2">
                  <c:v>0.66000000000000014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2014 -2015 старшая</c:v>
                </c:pt>
                <c:pt idx="2">
                  <c:v>2015 -2016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0.56999999999999995</c:v>
                </c:pt>
                <c:pt idx="2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2014 -2015 старшая</c:v>
                </c:pt>
                <c:pt idx="2">
                  <c:v>2015 -2016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9.0000000000000011E-2</c:v>
                </c:pt>
                <c:pt idx="1">
                  <c:v>3.0000000000000002E-2</c:v>
                </c:pt>
                <c:pt idx="2">
                  <c:v>0</c:v>
                </c:pt>
              </c:numCache>
            </c:numRef>
          </c:val>
        </c:ser>
        <c:axId val="45427712"/>
        <c:axId val="45437696"/>
      </c:barChart>
      <c:catAx>
        <c:axId val="45427712"/>
        <c:scaling>
          <c:orientation val="minMax"/>
        </c:scaling>
        <c:axPos val="b"/>
        <c:tickLblPos val="nextTo"/>
        <c:crossAx val="45437696"/>
        <c:crosses val="autoZero"/>
        <c:auto val="1"/>
        <c:lblAlgn val="ctr"/>
        <c:lblOffset val="100"/>
      </c:catAx>
      <c:valAx>
        <c:axId val="45437696"/>
        <c:scaling>
          <c:orientation val="minMax"/>
        </c:scaling>
        <c:axPos val="l"/>
        <c:majorGridlines/>
        <c:numFmt formatCode="0%" sourceLinked="1"/>
        <c:tickLblPos val="nextTo"/>
        <c:crossAx val="4542771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музыка</a:t>
            </a:r>
            <a:r>
              <a:rPr lang="ru-RU" baseline="0"/>
              <a:t> и движение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2014-2015 старшая</c:v>
                </c:pt>
                <c:pt idx="2">
                  <c:v>2015-2016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0.35000000000000003</c:v>
                </c:pt>
                <c:pt idx="1">
                  <c:v>0.52</c:v>
                </c:pt>
                <c:pt idx="2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2014-2015 старшая</c:v>
                </c:pt>
                <c:pt idx="2">
                  <c:v>2015-2016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0.65000000000000013</c:v>
                </c:pt>
                <c:pt idx="1">
                  <c:v>0.48000000000000004</c:v>
                </c:pt>
                <c:pt idx="2">
                  <c:v>0.32000000000000006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2014-2015 старшая</c:v>
                </c:pt>
                <c:pt idx="2">
                  <c:v>2015-2016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45497344"/>
        <c:axId val="45507328"/>
      </c:barChart>
      <c:catAx>
        <c:axId val="45497344"/>
        <c:scaling>
          <c:orientation val="minMax"/>
        </c:scaling>
        <c:axPos val="b"/>
        <c:tickLblPos val="nextTo"/>
        <c:crossAx val="45507328"/>
        <c:crosses val="autoZero"/>
        <c:auto val="1"/>
        <c:lblAlgn val="ctr"/>
        <c:lblOffset val="100"/>
      </c:catAx>
      <c:valAx>
        <c:axId val="45507328"/>
        <c:scaling>
          <c:orientation val="minMax"/>
        </c:scaling>
        <c:axPos val="l"/>
        <c:majorGridlines/>
        <c:numFmt formatCode="0%" sourceLinked="1"/>
        <c:tickLblPos val="nextTo"/>
        <c:crossAx val="4549734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элементарное</a:t>
            </a:r>
            <a:r>
              <a:rPr lang="ru-RU" baseline="0"/>
              <a:t> музицирование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2014-2015 старшая</c:v>
                </c:pt>
                <c:pt idx="2">
                  <c:v>2015-2016 подг.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0.47000000000000003</c:v>
                </c:pt>
                <c:pt idx="1">
                  <c:v>0.60000000000000009</c:v>
                </c:pt>
                <c:pt idx="2">
                  <c:v>0.72000000000000008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2014-2015 старшая</c:v>
                </c:pt>
                <c:pt idx="2">
                  <c:v>2015-2016 подг.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0.4</c:v>
                </c:pt>
                <c:pt idx="2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2013-2014 средняя</c:v>
                </c:pt>
                <c:pt idx="1">
                  <c:v>2014-2015 старшая</c:v>
                </c:pt>
                <c:pt idx="2">
                  <c:v>2015-2016 подг.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45534208"/>
        <c:axId val="45540096"/>
      </c:barChart>
      <c:catAx>
        <c:axId val="45534208"/>
        <c:scaling>
          <c:orientation val="minMax"/>
        </c:scaling>
        <c:axPos val="b"/>
        <c:tickLblPos val="nextTo"/>
        <c:crossAx val="45540096"/>
        <c:crosses val="autoZero"/>
        <c:auto val="1"/>
        <c:lblAlgn val="ctr"/>
        <c:lblOffset val="100"/>
      </c:catAx>
      <c:valAx>
        <c:axId val="45540096"/>
        <c:scaling>
          <c:orientation val="minMax"/>
        </c:scaling>
        <c:axPos val="l"/>
        <c:majorGridlines/>
        <c:numFmt formatCode="0%" sourceLinked="1"/>
        <c:tickLblPos val="nextTo"/>
        <c:crossAx val="4553420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восприятие музыки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 подг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 подг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средняя</c:v>
                </c:pt>
                <c:pt idx="1">
                  <c:v>2015-2016 старшая</c:v>
                </c:pt>
                <c:pt idx="2">
                  <c:v>2016 -2017 подг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0.04</c:v>
                </c:pt>
                <c:pt idx="1">
                  <c:v>0.02</c:v>
                </c:pt>
              </c:numCache>
            </c:numRef>
          </c:val>
        </c:ser>
        <c:axId val="45616128"/>
        <c:axId val="45626112"/>
      </c:barChart>
      <c:catAx>
        <c:axId val="45616128"/>
        <c:scaling>
          <c:orientation val="minMax"/>
        </c:scaling>
        <c:axPos val="b"/>
        <c:tickLblPos val="nextTo"/>
        <c:crossAx val="45626112"/>
        <c:crosses val="autoZero"/>
        <c:auto val="1"/>
        <c:lblAlgn val="ctr"/>
        <c:lblOffset val="100"/>
      </c:catAx>
      <c:valAx>
        <c:axId val="45626112"/>
        <c:scaling>
          <c:orientation val="minMax"/>
        </c:scaling>
        <c:axPos val="l"/>
        <c:majorGridlines/>
        <c:numFmt formatCode="0%" sourceLinked="1"/>
        <c:tickLblPos val="nextTo"/>
        <c:crossAx val="4561612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A82C-DF67-4F1C-9E72-4AF0D44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9</cp:revision>
  <dcterms:created xsi:type="dcterms:W3CDTF">2017-02-22T19:58:00Z</dcterms:created>
  <dcterms:modified xsi:type="dcterms:W3CDTF">2017-02-25T10:40:00Z</dcterms:modified>
</cp:coreProperties>
</file>